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一、无行政级别人员的校内调动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1.拟调入单位须有相关编制的空额。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2.辅导员校内调动的，调动申请人向本单位主管领导提交调出申请，填写《校内调动签批单》（在人事处人事科领取），经调出单位和调入单位领导同意并签字盖章后，报党委学生工作部（处），党委学生工作部（处）负责人同意并签字盖章后报分管学生工作的校领导审批，审核批准后报人事处。其他人员校内调动的，调动申请人向本单位主管领导提交调出申请，填写《校内调动签批单》（在人事处人事科领取），经调出单位和调入单位领导同意并签字盖章后，报人事处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3.人事处负责人审核签批后报分管人事工作的校领导审批。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4.审批通过后，调动申请人到人事处办理校内调动手续。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5.人事处开具校内调动介绍信、为调动人员调整工资关系。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6.调动人员凭校内调动介绍信到调入单位办理报到上岗。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二、有行政级别人员的校内调动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1.拟调入单位须有相关编制的空额。</w:t>
      </w:r>
    </w:p>
    <w:p w:rsidR="00AB689A" w:rsidRPr="00AB689A" w:rsidRDefault="00AB689A" w:rsidP="00AB689A">
      <w:pPr>
        <w:widowControl/>
        <w:shd w:val="clear" w:color="auto" w:fill="FFFFFF"/>
        <w:spacing w:before="75" w:after="120" w:line="49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B689A">
        <w:rPr>
          <w:rFonts w:ascii="宋体" w:eastAsia="宋体" w:hAnsi="宋体" w:cs="宋体" w:hint="eastAsia"/>
          <w:kern w:val="0"/>
          <w:sz w:val="29"/>
          <w:szCs w:val="29"/>
        </w:rPr>
        <w:t>2.调动申请人向本单位主管领导提交调出申请，经调出单位和调入单位主管领导同意后报党委组织部，人事处根据党委组织部关于干部任命文件办理校内调动手续。</w:t>
      </w:r>
    </w:p>
    <w:p w:rsidR="009F1291" w:rsidRDefault="009F1291">
      <w:bookmarkStart w:id="0" w:name="_GoBack"/>
      <w:bookmarkEnd w:id="0"/>
    </w:p>
    <w:sectPr w:rsidR="009F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7B"/>
    <w:rsid w:val="002B2C7B"/>
    <w:rsid w:val="009F1291"/>
    <w:rsid w:val="00A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BBDC-F02C-4EC2-AFE8-F8F0C1EC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2020-07-02T08:42:00Z</dcterms:created>
  <dcterms:modified xsi:type="dcterms:W3CDTF">2020-07-02T08:42:00Z</dcterms:modified>
</cp:coreProperties>
</file>